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AA33D" w14:textId="77777777" w:rsidR="007B16D7" w:rsidRPr="007B16D7" w:rsidRDefault="007B16D7" w:rsidP="007B16D7">
      <w:pPr>
        <w:pStyle w:val="Heading4"/>
        <w:spacing w:before="100" w:beforeAutospacing="1" w:after="100" w:afterAutospacing="1" w:line="252" w:lineRule="auto"/>
        <w:jc w:val="center"/>
        <w:rPr>
          <w:rFonts w:ascii="Century Gothic" w:eastAsiaTheme="majorEastAsia" w:hAnsi="Century Gothic" w:cstheme="majorBidi"/>
          <w:iCs/>
          <w:sz w:val="22"/>
          <w:szCs w:val="22"/>
          <w:lang w:val="en-US"/>
        </w:rPr>
      </w:pPr>
      <w:r w:rsidRPr="007B16D7">
        <w:rPr>
          <w:rFonts w:ascii="Century Gothic" w:eastAsiaTheme="majorEastAsia" w:hAnsi="Century Gothic" w:cstheme="majorBidi"/>
          <w:iCs/>
          <w:sz w:val="22"/>
          <w:szCs w:val="22"/>
          <w:lang w:val="en-US"/>
        </w:rPr>
        <w:t xml:space="preserve">CEFR Companion Volume implementation toolbox </w:t>
      </w:r>
    </w:p>
    <w:p w14:paraId="0CA571E8" w14:textId="19A125FA" w:rsidR="0078327C" w:rsidRPr="007B16D7" w:rsidRDefault="00DB3EB0" w:rsidP="007B16D7">
      <w:pPr>
        <w:pStyle w:val="Title"/>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2" w:lineRule="auto"/>
        <w:contextualSpacing w:val="0"/>
        <w:jc w:val="center"/>
        <w:rPr>
          <w:rFonts w:ascii="Century Gothic" w:eastAsiaTheme="majorEastAsia" w:hAnsi="Century Gothic" w:cstheme="majorBidi"/>
          <w:b/>
          <w:iCs w:val="0"/>
          <w:color w:val="auto"/>
          <w:spacing w:val="-7"/>
        </w:rPr>
      </w:pPr>
      <w:r w:rsidRPr="007B16D7">
        <w:rPr>
          <w:rFonts w:ascii="Century Gothic" w:eastAsiaTheme="majorEastAsia" w:hAnsi="Century Gothic" w:cstheme="majorBidi"/>
          <w:b/>
          <w:iCs w:val="0"/>
          <w:color w:val="auto"/>
          <w:spacing w:val="-7"/>
        </w:rPr>
        <w:t>Classroom activity: Mediating texts – Explaining data in speech or in writing</w:t>
      </w:r>
    </w:p>
    <w:tbl>
      <w:tblPr>
        <w:tblStyle w:val="TableGrid"/>
        <w:tblW w:w="0" w:type="auto"/>
        <w:tblLook w:val="04A0" w:firstRow="1" w:lastRow="0" w:firstColumn="1" w:lastColumn="0" w:noHBand="0" w:noVBand="1"/>
      </w:tblPr>
      <w:tblGrid>
        <w:gridCol w:w="9016"/>
      </w:tblGrid>
      <w:tr w:rsidR="0078327C" w14:paraId="6A5BE184" w14:textId="77777777">
        <w:tc>
          <w:tcPr>
            <w:tcW w:w="9016" w:type="dxa"/>
          </w:tcPr>
          <w:p w14:paraId="420F91DF" w14:textId="77777777" w:rsidR="0078327C" w:rsidRDefault="00DB3EB0">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rPr>
            </w:pPr>
            <w:r>
              <w:rPr>
                <w:b/>
                <w:sz w:val="22"/>
                <w:szCs w:val="22"/>
              </w:rPr>
              <w:t xml:space="preserve">Title: Research results </w:t>
            </w:r>
          </w:p>
        </w:tc>
      </w:tr>
      <w:tr w:rsidR="0078327C" w14:paraId="6F2DFA4B" w14:textId="77777777">
        <w:tc>
          <w:tcPr>
            <w:tcW w:w="9016" w:type="dxa"/>
          </w:tcPr>
          <w:p w14:paraId="61E7660F" w14:textId="77777777" w:rsidR="0078327C" w:rsidRDefault="00DB3EB0">
            <w:p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 xml:space="preserve">Language: </w:t>
            </w:r>
            <w:r>
              <w:rPr>
                <w:sz w:val="22"/>
                <w:szCs w:val="22"/>
              </w:rPr>
              <w:tab/>
              <w:t>English</w:t>
            </w:r>
          </w:p>
          <w:p w14:paraId="054336E1" w14:textId="77777777" w:rsidR="0078327C" w:rsidRDefault="00DB3EB0">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rPr>
            </w:pPr>
            <w:r>
              <w:rPr>
                <w:sz w:val="22"/>
                <w:szCs w:val="22"/>
              </w:rPr>
              <w:t xml:space="preserve">CEFR Level: </w:t>
            </w:r>
            <w:r>
              <w:rPr>
                <w:sz w:val="22"/>
                <w:szCs w:val="22"/>
              </w:rPr>
              <w:tab/>
              <w:t>B2/C1</w:t>
            </w:r>
          </w:p>
          <w:p w14:paraId="7E9CF8A7" w14:textId="77777777" w:rsidR="0078327C" w:rsidRDefault="00DB3EB0">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rPr>
            </w:pPr>
            <w:r>
              <w:rPr>
                <w:sz w:val="22"/>
                <w:szCs w:val="22"/>
              </w:rPr>
              <w:t xml:space="preserve">Target group: </w:t>
            </w:r>
            <w:r>
              <w:rPr>
                <w:sz w:val="22"/>
                <w:szCs w:val="22"/>
              </w:rPr>
              <w:tab/>
              <w:t>students at university or in vocational training</w:t>
            </w:r>
          </w:p>
          <w:p w14:paraId="66FC113B" w14:textId="77777777" w:rsidR="0078327C" w:rsidRDefault="00DB3EB0">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rPr>
            </w:pPr>
            <w:r>
              <w:rPr>
                <w:sz w:val="22"/>
                <w:szCs w:val="22"/>
              </w:rPr>
              <w:t xml:space="preserve">Purpose: </w:t>
            </w:r>
            <w:r>
              <w:rPr>
                <w:sz w:val="22"/>
                <w:szCs w:val="22"/>
              </w:rPr>
              <w:tab/>
              <w:t>Mediating texts / explaining data</w:t>
            </w:r>
          </w:p>
        </w:tc>
      </w:tr>
      <w:tr w:rsidR="0078327C" w14:paraId="4D0A72F1" w14:textId="77777777">
        <w:tc>
          <w:tcPr>
            <w:tcW w:w="9016" w:type="dxa"/>
          </w:tcPr>
          <w:p w14:paraId="51E804BC" w14:textId="77777777" w:rsidR="0078327C" w:rsidRDefault="00DB3EB0">
            <w:pPr>
              <w:pBdr>
                <w:top w:val="none" w:sz="0" w:space="0" w:color="auto"/>
                <w:left w:val="none" w:sz="0" w:space="0" w:color="auto"/>
                <w:bottom w:val="none" w:sz="0" w:space="0" w:color="auto"/>
                <w:right w:val="none" w:sz="0" w:space="0" w:color="auto"/>
                <w:between w:val="none" w:sz="0" w:space="0" w:color="auto"/>
              </w:pBdr>
              <w:spacing w:before="120"/>
              <w:rPr>
                <w:sz w:val="22"/>
                <w:szCs w:val="22"/>
                <w:lang w:val="pl-PL"/>
              </w:rPr>
            </w:pPr>
            <w:r>
              <w:rPr>
                <w:sz w:val="22"/>
                <w:szCs w:val="22"/>
                <w:lang w:val="pl-PL"/>
              </w:rPr>
              <w:t xml:space="preserve">Authors: </w:t>
            </w:r>
            <w:r>
              <w:rPr>
                <w:sz w:val="22"/>
                <w:szCs w:val="22"/>
              </w:rPr>
              <w:tab/>
            </w:r>
            <w:r>
              <w:rPr>
                <w:sz w:val="22"/>
                <w:szCs w:val="22"/>
                <w:lang w:val="pl-PL"/>
              </w:rPr>
              <w:t>VITbox team</w:t>
            </w:r>
          </w:p>
        </w:tc>
      </w:tr>
    </w:tbl>
    <w:p w14:paraId="03EF93DB" w14:textId="77777777" w:rsidR="0078327C" w:rsidRDefault="0078327C">
      <w:pPr>
        <w:spacing w:before="120"/>
        <w:rPr>
          <w:sz w:val="22"/>
          <w:szCs w:val="22"/>
          <w:lang w:val="pl-PL"/>
        </w:rPr>
      </w:pPr>
    </w:p>
    <w:tbl>
      <w:tblPr>
        <w:tblStyle w:val="TableGrid"/>
        <w:tblW w:w="0" w:type="auto"/>
        <w:tblLook w:val="04A0" w:firstRow="1" w:lastRow="0" w:firstColumn="1" w:lastColumn="0" w:noHBand="0" w:noVBand="1"/>
      </w:tblPr>
      <w:tblGrid>
        <w:gridCol w:w="9062"/>
      </w:tblGrid>
      <w:tr w:rsidR="0078327C" w14:paraId="1A313695" w14:textId="77777777">
        <w:tc>
          <w:tcPr>
            <w:tcW w:w="9062" w:type="dxa"/>
          </w:tcPr>
          <w:p w14:paraId="1907E2D2" w14:textId="77777777" w:rsidR="0078327C" w:rsidRPr="00DB3EB0" w:rsidRDefault="00DB3EB0">
            <w:pPr>
              <w:pBdr>
                <w:top w:val="none" w:sz="0" w:space="0" w:color="auto"/>
                <w:left w:val="none" w:sz="0" w:space="0" w:color="auto"/>
                <w:bottom w:val="none" w:sz="0" w:space="0" w:color="auto"/>
                <w:right w:val="none" w:sz="0" w:space="0" w:color="auto"/>
                <w:between w:val="none" w:sz="0" w:space="0" w:color="auto"/>
              </w:pBdr>
              <w:spacing w:before="120"/>
              <w:rPr>
                <w:b/>
                <w:bCs w:val="0"/>
                <w:sz w:val="22"/>
                <w:szCs w:val="22"/>
              </w:rPr>
            </w:pPr>
            <w:r w:rsidRPr="00DB3EB0">
              <w:rPr>
                <w:b/>
                <w:bCs w:val="0"/>
                <w:sz w:val="22"/>
                <w:szCs w:val="22"/>
              </w:rPr>
              <w:t>Goals of the activity:</w:t>
            </w:r>
          </w:p>
          <w:p w14:paraId="5E9556D9" w14:textId="77777777" w:rsidR="0078327C" w:rsidRDefault="00DB3EB0">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 xml:space="preserve">transforming data presented in graphs, charts or diagrams into a spoken and written </w:t>
            </w:r>
            <w:proofErr w:type="gramStart"/>
            <w:r>
              <w:rPr>
                <w:sz w:val="22"/>
                <w:szCs w:val="22"/>
              </w:rPr>
              <w:t>text;</w:t>
            </w:r>
            <w:proofErr w:type="gramEnd"/>
            <w:r>
              <w:rPr>
                <w:sz w:val="22"/>
                <w:szCs w:val="22"/>
              </w:rPr>
              <w:t xml:space="preserve"> </w:t>
            </w:r>
          </w:p>
          <w:p w14:paraId="2231A464" w14:textId="77777777" w:rsidR="0078327C" w:rsidRDefault="00DB3EB0">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describing, commenting and interpreting salient points.</w:t>
            </w:r>
          </w:p>
          <w:p w14:paraId="6E1C26A8" w14:textId="77777777" w:rsidR="0078327C" w:rsidRPr="00DB3EB0" w:rsidRDefault="00DB3EB0">
            <w:pPr>
              <w:pBdr>
                <w:top w:val="none" w:sz="0" w:space="0" w:color="auto"/>
                <w:left w:val="none" w:sz="0" w:space="0" w:color="auto"/>
                <w:bottom w:val="none" w:sz="0" w:space="0" w:color="auto"/>
                <w:right w:val="none" w:sz="0" w:space="0" w:color="auto"/>
                <w:between w:val="none" w:sz="0" w:space="0" w:color="auto"/>
              </w:pBdr>
              <w:spacing w:before="120"/>
              <w:rPr>
                <w:b/>
                <w:bCs w:val="0"/>
                <w:sz w:val="22"/>
                <w:szCs w:val="22"/>
              </w:rPr>
            </w:pPr>
            <w:r w:rsidRPr="00DB3EB0">
              <w:rPr>
                <w:b/>
                <w:bCs w:val="0"/>
                <w:sz w:val="22"/>
                <w:szCs w:val="22"/>
              </w:rPr>
              <w:t>0. Introduction</w:t>
            </w:r>
          </w:p>
          <w:p w14:paraId="4903EFD8" w14:textId="77777777" w:rsidR="0078327C" w:rsidRDefault="00DB3EB0">
            <w:p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Students are asked to prepare an article on their research topic and need to get familiar with ways of presenting and explaining data.</w:t>
            </w:r>
          </w:p>
          <w:p w14:paraId="3E681B79" w14:textId="77777777" w:rsidR="0078327C" w:rsidRPr="00DB3EB0" w:rsidRDefault="00DB3EB0">
            <w:pPr>
              <w:pBdr>
                <w:top w:val="none" w:sz="0" w:space="0" w:color="auto"/>
                <w:left w:val="none" w:sz="0" w:space="0" w:color="auto"/>
                <w:bottom w:val="none" w:sz="0" w:space="0" w:color="auto"/>
                <w:right w:val="none" w:sz="0" w:space="0" w:color="auto"/>
                <w:between w:val="none" w:sz="0" w:space="0" w:color="auto"/>
              </w:pBdr>
              <w:spacing w:before="120"/>
              <w:rPr>
                <w:b/>
                <w:bCs w:val="0"/>
                <w:sz w:val="22"/>
                <w:szCs w:val="22"/>
              </w:rPr>
            </w:pPr>
            <w:r w:rsidRPr="00DB3EB0">
              <w:rPr>
                <w:b/>
                <w:bCs w:val="0"/>
                <w:sz w:val="22"/>
                <w:szCs w:val="22"/>
              </w:rPr>
              <w:t>1. Warm-up</w:t>
            </w:r>
          </w:p>
          <w:p w14:paraId="3AF2CED8" w14:textId="77777777" w:rsidR="0078327C" w:rsidRDefault="00DB3EB0">
            <w:p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The activity starts with a discussion on ways of presenting data in charts and diagrams, different types of diagrams and their purposes and the language used for describing trends.</w:t>
            </w:r>
          </w:p>
          <w:p w14:paraId="6B3CB924" w14:textId="77777777" w:rsidR="0078327C" w:rsidRPr="00DB3EB0" w:rsidRDefault="00DB3EB0">
            <w:pPr>
              <w:pBdr>
                <w:top w:val="none" w:sz="0" w:space="0" w:color="auto"/>
                <w:left w:val="none" w:sz="0" w:space="0" w:color="auto"/>
                <w:bottom w:val="none" w:sz="0" w:space="0" w:color="auto"/>
                <w:right w:val="none" w:sz="0" w:space="0" w:color="auto"/>
                <w:between w:val="none" w:sz="0" w:space="0" w:color="auto"/>
              </w:pBdr>
              <w:spacing w:before="120"/>
              <w:rPr>
                <w:b/>
                <w:bCs w:val="0"/>
                <w:sz w:val="22"/>
                <w:szCs w:val="22"/>
              </w:rPr>
            </w:pPr>
            <w:r w:rsidRPr="00DB3EB0">
              <w:rPr>
                <w:b/>
                <w:bCs w:val="0"/>
                <w:sz w:val="22"/>
                <w:szCs w:val="22"/>
              </w:rPr>
              <w:t xml:space="preserve">2. Task 1: Reading a literary review and analysing graphs and charts – preparation </w:t>
            </w:r>
          </w:p>
          <w:p w14:paraId="13977C89" w14:textId="77777777" w:rsidR="0078327C" w:rsidRDefault="00DB3EB0">
            <w:p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Students read a fragment of an academic article which summarises previous research in the field and is accompanied by the data shown in charts and diagrams. They are asked to focus on the way the data is presented in the graphic form.</w:t>
            </w:r>
          </w:p>
          <w:p w14:paraId="254F608E" w14:textId="77777777" w:rsidR="0078327C" w:rsidRPr="00DB3EB0" w:rsidRDefault="00DB3EB0">
            <w:pPr>
              <w:pBdr>
                <w:top w:val="none" w:sz="0" w:space="0" w:color="auto"/>
                <w:left w:val="none" w:sz="0" w:space="0" w:color="auto"/>
                <w:bottom w:val="none" w:sz="0" w:space="0" w:color="auto"/>
                <w:right w:val="none" w:sz="0" w:space="0" w:color="auto"/>
                <w:between w:val="none" w:sz="0" w:space="0" w:color="auto"/>
              </w:pBdr>
              <w:spacing w:before="120"/>
              <w:rPr>
                <w:b/>
                <w:bCs w:val="0"/>
                <w:sz w:val="22"/>
                <w:szCs w:val="22"/>
              </w:rPr>
            </w:pPr>
            <w:r w:rsidRPr="00DB3EB0">
              <w:rPr>
                <w:b/>
                <w:bCs w:val="0"/>
                <w:sz w:val="22"/>
                <w:szCs w:val="22"/>
              </w:rPr>
              <w:t>3. Task 2: Interpreting the information shown in diagrams and charts</w:t>
            </w:r>
          </w:p>
          <w:p w14:paraId="7137F249" w14:textId="77777777" w:rsidR="0078327C" w:rsidRDefault="00DB3EB0">
            <w:p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 xml:space="preserve">The students are asked to interpret and discuss the information presented in the article’s diagrams. They are also asked to evaluate their usefulness and the efficiency in presenting information. They are encouraged to think about alternative ways of data presentation. </w:t>
            </w:r>
          </w:p>
          <w:p w14:paraId="419E968B" w14:textId="77777777" w:rsidR="0078327C" w:rsidRPr="00DB3EB0" w:rsidRDefault="00DB3EB0">
            <w:pPr>
              <w:pBdr>
                <w:top w:val="none" w:sz="0" w:space="0" w:color="auto"/>
                <w:left w:val="none" w:sz="0" w:space="0" w:color="auto"/>
                <w:bottom w:val="none" w:sz="0" w:space="0" w:color="auto"/>
                <w:right w:val="none" w:sz="0" w:space="0" w:color="auto"/>
                <w:between w:val="none" w:sz="0" w:space="0" w:color="auto"/>
              </w:pBdr>
              <w:spacing w:before="120"/>
              <w:rPr>
                <w:b/>
                <w:sz w:val="22"/>
                <w:szCs w:val="22"/>
              </w:rPr>
            </w:pPr>
            <w:r w:rsidRPr="00DB3EB0">
              <w:rPr>
                <w:b/>
                <w:sz w:val="22"/>
                <w:szCs w:val="22"/>
              </w:rPr>
              <w:t>4. Task 3: Peer feedback and class discussion</w:t>
            </w:r>
          </w:p>
          <w:p w14:paraId="7C0221C4" w14:textId="77777777" w:rsidR="0078327C" w:rsidRDefault="00DB3EB0">
            <w:p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The activity may be followed with a class discussion on the advantages and disadvantages of the graphs and diagrams in the article.</w:t>
            </w:r>
          </w:p>
          <w:p w14:paraId="53A687E3" w14:textId="77777777" w:rsidR="0078327C" w:rsidRPr="00DB3EB0" w:rsidRDefault="00DB3EB0">
            <w:pPr>
              <w:pBdr>
                <w:top w:val="none" w:sz="0" w:space="0" w:color="auto"/>
                <w:left w:val="none" w:sz="0" w:space="0" w:color="auto"/>
                <w:bottom w:val="none" w:sz="0" w:space="0" w:color="auto"/>
                <w:right w:val="none" w:sz="0" w:space="0" w:color="auto"/>
                <w:between w:val="none" w:sz="0" w:space="0" w:color="auto"/>
              </w:pBdr>
              <w:spacing w:before="120"/>
              <w:rPr>
                <w:b/>
                <w:bCs w:val="0"/>
                <w:sz w:val="22"/>
                <w:szCs w:val="22"/>
              </w:rPr>
            </w:pPr>
            <w:r w:rsidRPr="00DB3EB0">
              <w:rPr>
                <w:b/>
                <w:bCs w:val="0"/>
                <w:sz w:val="22"/>
                <w:szCs w:val="22"/>
              </w:rPr>
              <w:t>5. Task 4: Implementing newly gained skills in students’ own research and writing</w:t>
            </w:r>
          </w:p>
          <w:p w14:paraId="4B63C5A4" w14:textId="44F992C6" w:rsidR="0078327C" w:rsidRDefault="00DB3EB0">
            <w:p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lastRenderedPageBreak/>
              <w:t>Students are then invited to prepare diagrams and/or charts of their own research data and present and describe it in a scientific paper.</w:t>
            </w:r>
          </w:p>
          <w:p w14:paraId="4DA208E8" w14:textId="77777777" w:rsidR="0078327C" w:rsidRDefault="008F336B">
            <w:pPr>
              <w:pBdr>
                <w:top w:val="none" w:sz="0" w:space="0" w:color="auto"/>
                <w:left w:val="none" w:sz="0" w:space="0" w:color="auto"/>
                <w:bottom w:val="none" w:sz="0" w:space="0" w:color="auto"/>
                <w:right w:val="none" w:sz="0" w:space="0" w:color="auto"/>
                <w:between w:val="none" w:sz="0" w:space="0" w:color="auto"/>
              </w:pBdr>
              <w:spacing w:before="120"/>
            </w:pPr>
            <w:r>
              <w:pict w14:anchorId="79F67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sidR="00DB3EB0">
              <w:object w:dxaOrig="7550" w:dyaOrig="5040" w14:anchorId="7E522D2E">
                <v:shape id="_x0000_i1025" type="#_x0000_t75" style="width:378pt;height:252pt;mso-wrap-distance-left:0;mso-wrap-distance-top:0;mso-wrap-distance-right:0;mso-wrap-distance-bottom:0" o:ole="">
                  <v:imagedata r:id="rId7" o:title=""/>
                  <v:path textboxrect="0,0,0,0"/>
                </v:shape>
                <o:OLEObject Type="Embed" ProgID="PBrush" ShapeID="_x0000_i1025" DrawAspect="Content" ObjectID="_1781007971" r:id="rId8"/>
              </w:object>
            </w:r>
          </w:p>
          <w:p w14:paraId="5C3C8E70" w14:textId="77777777" w:rsidR="0078327C" w:rsidRDefault="00DB3EB0">
            <w:pPr>
              <w:pBdr>
                <w:top w:val="none" w:sz="0" w:space="0" w:color="auto"/>
                <w:left w:val="none" w:sz="0" w:space="0" w:color="auto"/>
                <w:bottom w:val="none" w:sz="0" w:space="0" w:color="auto"/>
                <w:right w:val="none" w:sz="0" w:space="0" w:color="auto"/>
                <w:between w:val="none" w:sz="0" w:space="0" w:color="auto"/>
              </w:pBdr>
              <w:spacing w:before="120"/>
              <w:rPr>
                <w:sz w:val="22"/>
                <w:szCs w:val="22"/>
              </w:rPr>
            </w:pPr>
            <w:r>
              <w:t xml:space="preserve">Source: </w:t>
            </w:r>
            <w:r>
              <w:rPr>
                <w:i/>
                <w:iCs w:val="0"/>
              </w:rPr>
              <w:t>Overview of current development in electrical energy storage technologies and the application potential in power system operation</w:t>
            </w:r>
            <w:r>
              <w:t xml:space="preserve"> (</w:t>
            </w:r>
            <w:hyperlink r:id="rId9" w:history="1">
              <w:r>
                <w:rPr>
                  <w:rStyle w:val="Hyperlink"/>
                </w:rPr>
                <w:t>https://www.sciencedirect.com/</w:t>
              </w:r>
            </w:hyperlink>
            <w:r>
              <w:t>).</w:t>
            </w:r>
          </w:p>
        </w:tc>
      </w:tr>
    </w:tbl>
    <w:p w14:paraId="6D07A813" w14:textId="77777777" w:rsidR="0078327C" w:rsidRDefault="0078327C">
      <w:pPr>
        <w:spacing w:before="120"/>
        <w:rPr>
          <w:sz w:val="22"/>
          <w:szCs w:val="22"/>
        </w:rPr>
      </w:pPr>
    </w:p>
    <w:p w14:paraId="62D1A90A" w14:textId="77777777" w:rsidR="0078327C" w:rsidRDefault="00DB3EB0">
      <w:pPr>
        <w:pBdr>
          <w:top w:val="none" w:sz="0" w:space="0" w:color="auto"/>
          <w:left w:val="none" w:sz="0" w:space="0" w:color="auto"/>
          <w:bottom w:val="none" w:sz="0" w:space="0" w:color="auto"/>
          <w:right w:val="none" w:sz="0" w:space="0" w:color="auto"/>
          <w:between w:val="none" w:sz="0" w:space="0" w:color="auto"/>
        </w:pBdr>
        <w:spacing w:after="160" w:line="259" w:lineRule="auto"/>
        <w:jc w:val="left"/>
        <w:rPr>
          <w:sz w:val="22"/>
          <w:szCs w:val="22"/>
        </w:rPr>
      </w:pPr>
      <w:bookmarkStart w:id="0" w:name="_Hlk100159479"/>
      <w:r>
        <w:rPr>
          <w:sz w:val="22"/>
          <w:szCs w:val="22"/>
        </w:rPr>
        <w:t>Descriptors:</w:t>
      </w:r>
      <w:r>
        <w:rPr>
          <w:rFonts w:ascii="Times New Roman" w:eastAsia="Times New Roman" w:hAnsi="Times New Roman" w:cs="Times New Roman"/>
          <w:bCs w:val="0"/>
          <w:iCs w:val="0"/>
          <w:sz w:val="23"/>
          <w:szCs w:val="22"/>
          <w:lang w:eastAsia="en-GB"/>
        </w:rPr>
        <w:t xml:space="preserve"> </w:t>
      </w:r>
      <w:r>
        <w:rPr>
          <w:sz w:val="22"/>
          <w:szCs w:val="22"/>
        </w:rPr>
        <w:t>CEFR level B2</w:t>
      </w:r>
    </w:p>
    <w:tbl>
      <w:tblPr>
        <w:tblStyle w:val="TableGrid"/>
        <w:tblW w:w="0" w:type="auto"/>
        <w:tblLook w:val="04A0" w:firstRow="1" w:lastRow="0" w:firstColumn="1" w:lastColumn="0" w:noHBand="0" w:noVBand="1"/>
      </w:tblPr>
      <w:tblGrid>
        <w:gridCol w:w="4531"/>
        <w:gridCol w:w="4531"/>
      </w:tblGrid>
      <w:tr w:rsidR="0078327C" w14:paraId="3D97257D" w14:textId="77777777">
        <w:tc>
          <w:tcPr>
            <w:tcW w:w="4531" w:type="dxa"/>
          </w:tcPr>
          <w:p w14:paraId="204EC631" w14:textId="77777777" w:rsidR="0078327C" w:rsidRDefault="00DB3EB0">
            <w:pPr>
              <w:pBdr>
                <w:top w:val="none" w:sz="0" w:space="0" w:color="auto"/>
                <w:left w:val="none" w:sz="0" w:space="0" w:color="auto"/>
                <w:bottom w:val="none" w:sz="0" w:space="0" w:color="auto"/>
                <w:right w:val="none" w:sz="0" w:space="0" w:color="auto"/>
                <w:between w:val="none" w:sz="0" w:space="0" w:color="auto"/>
              </w:pBdr>
              <w:jc w:val="left"/>
            </w:pPr>
            <w:bookmarkStart w:id="1" w:name="_Hlk91661592"/>
            <w:r>
              <w:t xml:space="preserve">CEFR Descriptor Scheme: </w:t>
            </w:r>
          </w:p>
          <w:p w14:paraId="09160C50" w14:textId="77777777" w:rsidR="0078327C" w:rsidRDefault="00DB3EB0">
            <w:pPr>
              <w:pBdr>
                <w:top w:val="none" w:sz="0" w:space="0" w:color="auto"/>
                <w:left w:val="none" w:sz="0" w:space="0" w:color="auto"/>
                <w:bottom w:val="none" w:sz="0" w:space="0" w:color="auto"/>
                <w:right w:val="none" w:sz="0" w:space="0" w:color="auto"/>
                <w:between w:val="none" w:sz="0" w:space="0" w:color="auto"/>
              </w:pBdr>
              <w:jc w:val="left"/>
            </w:pPr>
            <w:r>
              <w:t>Mediation/ Mediating a text</w:t>
            </w:r>
          </w:p>
        </w:tc>
        <w:tc>
          <w:tcPr>
            <w:tcW w:w="4531" w:type="dxa"/>
          </w:tcPr>
          <w:p w14:paraId="2DE3099E" w14:textId="77777777" w:rsidR="0078327C" w:rsidRDefault="00DB3EB0">
            <w:pPr>
              <w:pBdr>
                <w:top w:val="none" w:sz="0" w:space="0" w:color="auto"/>
                <w:left w:val="none" w:sz="0" w:space="0" w:color="auto"/>
                <w:bottom w:val="none" w:sz="0" w:space="0" w:color="auto"/>
                <w:right w:val="none" w:sz="0" w:space="0" w:color="auto"/>
                <w:between w:val="none" w:sz="0" w:space="0" w:color="auto"/>
              </w:pBdr>
              <w:jc w:val="left"/>
            </w:pPr>
            <w:r>
              <w:t>Scale:</w:t>
            </w:r>
          </w:p>
          <w:p w14:paraId="79F4C0D8" w14:textId="77777777" w:rsidR="0078327C" w:rsidRDefault="00DB3EB0">
            <w:pPr>
              <w:pBdr>
                <w:top w:val="none" w:sz="0" w:space="0" w:color="auto"/>
                <w:left w:val="none" w:sz="0" w:space="0" w:color="auto"/>
                <w:bottom w:val="none" w:sz="0" w:space="0" w:color="auto"/>
                <w:right w:val="none" w:sz="0" w:space="0" w:color="auto"/>
                <w:between w:val="none" w:sz="0" w:space="0" w:color="auto"/>
              </w:pBdr>
              <w:jc w:val="left"/>
            </w:pPr>
            <w:r>
              <w:t>Explaining data in speech / in writing</w:t>
            </w:r>
          </w:p>
        </w:tc>
      </w:tr>
      <w:tr w:rsidR="0078327C" w14:paraId="7A888B30" w14:textId="77777777">
        <w:tc>
          <w:tcPr>
            <w:tcW w:w="9062" w:type="dxa"/>
            <w:gridSpan w:val="2"/>
          </w:tcPr>
          <w:p w14:paraId="6A861289" w14:textId="77777777" w:rsidR="0078327C" w:rsidRDefault="00DB3EB0">
            <w:pPr>
              <w:pBdr>
                <w:top w:val="none" w:sz="0" w:space="0" w:color="auto"/>
                <w:left w:val="none" w:sz="0" w:space="0" w:color="auto"/>
                <w:bottom w:val="none" w:sz="0" w:space="0" w:color="auto"/>
                <w:right w:val="none" w:sz="0" w:space="0" w:color="auto"/>
                <w:between w:val="none" w:sz="0" w:space="0" w:color="auto"/>
              </w:pBdr>
              <w:jc w:val="left"/>
            </w:pPr>
            <w:r>
              <w:t xml:space="preserve">Descriptors: </w:t>
            </w:r>
          </w:p>
          <w:p w14:paraId="348201B7" w14:textId="77777777" w:rsidR="0078327C" w:rsidRDefault="00DB3EB0">
            <w:pPr>
              <w:pBdr>
                <w:top w:val="none" w:sz="0" w:space="0" w:color="auto"/>
                <w:left w:val="none" w:sz="0" w:space="0" w:color="auto"/>
                <w:bottom w:val="none" w:sz="0" w:space="0" w:color="auto"/>
                <w:right w:val="none" w:sz="0" w:space="0" w:color="auto"/>
                <w:between w:val="none" w:sz="0" w:space="0" w:color="auto"/>
              </w:pBdr>
              <w:jc w:val="left"/>
            </w:pPr>
            <w:r>
              <w:t>Can interpret and describe reliably (in Language B) detailed information contained in complex diagrams, charts and other visually organised information (with text in Language A) on topics in their fields of interest.</w:t>
            </w:r>
            <w:bookmarkEnd w:id="0"/>
            <w:bookmarkEnd w:id="1"/>
          </w:p>
        </w:tc>
      </w:tr>
    </w:tbl>
    <w:p w14:paraId="6350BC1A" w14:textId="77777777" w:rsidR="0078327C" w:rsidRDefault="0078327C">
      <w:pPr>
        <w:spacing w:before="120"/>
      </w:pPr>
    </w:p>
    <w:p w14:paraId="2B4D2177" w14:textId="77777777" w:rsidR="0078327C" w:rsidRDefault="00DB3EB0">
      <w:pPr>
        <w:spacing w:before="120"/>
        <w:rPr>
          <w:sz w:val="22"/>
          <w:szCs w:val="22"/>
        </w:rPr>
      </w:pPr>
      <w:r>
        <w:rPr>
          <w:sz w:val="22"/>
          <w:szCs w:val="22"/>
        </w:rPr>
        <w:t>Descriptors: CEFR level C1</w:t>
      </w:r>
    </w:p>
    <w:tbl>
      <w:tblPr>
        <w:tblStyle w:val="TableGrid"/>
        <w:tblW w:w="0" w:type="auto"/>
        <w:tblLook w:val="04A0" w:firstRow="1" w:lastRow="0" w:firstColumn="1" w:lastColumn="0" w:noHBand="0" w:noVBand="1"/>
      </w:tblPr>
      <w:tblGrid>
        <w:gridCol w:w="4532"/>
        <w:gridCol w:w="4530"/>
      </w:tblGrid>
      <w:tr w:rsidR="0078327C" w14:paraId="72D45FE4" w14:textId="77777777">
        <w:tc>
          <w:tcPr>
            <w:tcW w:w="4532" w:type="dxa"/>
          </w:tcPr>
          <w:p w14:paraId="49099AE9" w14:textId="77777777" w:rsidR="0078327C" w:rsidRDefault="00DB3EB0">
            <w:pPr>
              <w:spacing w:before="120"/>
            </w:pPr>
            <w:r>
              <w:t xml:space="preserve">CEFR Descriptor Scheme: </w:t>
            </w:r>
          </w:p>
          <w:p w14:paraId="1088BDD4" w14:textId="77777777" w:rsidR="0078327C" w:rsidRDefault="00DB3EB0">
            <w:pPr>
              <w:spacing w:before="120"/>
            </w:pPr>
            <w:r>
              <w:t>Mediation/ Mediating a text</w:t>
            </w:r>
          </w:p>
        </w:tc>
        <w:tc>
          <w:tcPr>
            <w:tcW w:w="4530" w:type="dxa"/>
          </w:tcPr>
          <w:p w14:paraId="68E7380B" w14:textId="77777777" w:rsidR="0078327C" w:rsidRDefault="00DB3EB0">
            <w:pPr>
              <w:spacing w:before="120"/>
            </w:pPr>
            <w:r>
              <w:t>Scale:</w:t>
            </w:r>
          </w:p>
          <w:p w14:paraId="095DE986" w14:textId="77777777" w:rsidR="0078327C" w:rsidRDefault="00DB3EB0">
            <w:pPr>
              <w:spacing w:before="120"/>
            </w:pPr>
            <w:r>
              <w:t>Explaining data in speech / in writing</w:t>
            </w:r>
          </w:p>
        </w:tc>
      </w:tr>
      <w:tr w:rsidR="0078327C" w14:paraId="19D2095D" w14:textId="77777777">
        <w:tc>
          <w:tcPr>
            <w:tcW w:w="9062" w:type="dxa"/>
            <w:gridSpan w:val="2"/>
          </w:tcPr>
          <w:p w14:paraId="586FA018" w14:textId="77777777" w:rsidR="0078327C" w:rsidRDefault="00DB3EB0">
            <w:pPr>
              <w:spacing w:before="120"/>
            </w:pPr>
            <w:r>
              <w:t xml:space="preserve">Descriptors: </w:t>
            </w:r>
          </w:p>
          <w:p w14:paraId="4D5D92B5" w14:textId="77777777" w:rsidR="0078327C" w:rsidRDefault="00DB3EB0">
            <w:pPr>
              <w:spacing w:before="120"/>
            </w:pPr>
            <w:r>
              <w:t xml:space="preserve">Can interpret and describe clearly and reliably (in Language B) the salient points and details contained in complex diagrams and other visually organised information (with text in Language A) on complex academic or professional topics. </w:t>
            </w:r>
          </w:p>
        </w:tc>
      </w:tr>
    </w:tbl>
    <w:p w14:paraId="29BE05EF" w14:textId="77777777" w:rsidR="0078327C" w:rsidRDefault="0078327C">
      <w:pPr>
        <w:spacing w:before="120"/>
      </w:pPr>
    </w:p>
    <w:sectPr w:rsidR="0078327C" w:rsidSect="008F336B">
      <w:headerReference w:type="default" r:id="rId10"/>
      <w:footerReference w:type="even" r:id="rId11"/>
      <w:footerReference w:type="default" r:id="rId12"/>
      <w:pgSz w:w="11906" w:h="16838"/>
      <w:pgMar w:top="1843" w:right="1417" w:bottom="1134" w:left="1417" w:header="284"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7F0ED" w14:textId="77777777" w:rsidR="0078327C" w:rsidRDefault="00DB3EB0">
      <w:pPr>
        <w:spacing w:after="0"/>
      </w:pPr>
      <w:r>
        <w:separator/>
      </w:r>
    </w:p>
  </w:endnote>
  <w:endnote w:type="continuationSeparator" w:id="0">
    <w:p w14:paraId="51E6169B" w14:textId="77777777" w:rsidR="0078327C" w:rsidRDefault="00DB3E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C5E61" w14:textId="0FBFCDAF" w:rsidR="004740E7" w:rsidRDefault="008F336B" w:rsidP="008F336B">
    <w:pPr>
      <w:pStyle w:val="Footer"/>
      <w:jc w:val="right"/>
    </w:pPr>
    <w:r w:rsidRPr="008414FC">
      <w:rPr>
        <w:noProof/>
        <w:sz w:val="16"/>
        <w:szCs w:val="16"/>
      </w:rPr>
      <w:drawing>
        <wp:inline distT="0" distB="0" distL="0" distR="0" wp14:anchorId="4C426094" wp14:editId="297FFBD6">
          <wp:extent cx="1572895" cy="535940"/>
          <wp:effectExtent l="0" t="0" r="8255" b="0"/>
          <wp:docPr id="667067686" name="Picture 66706768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6850821"/>
      <w:docPartObj>
        <w:docPartGallery w:val="Page Numbers (Bottom of Page)"/>
        <w:docPartUnique/>
      </w:docPartObj>
    </w:sdtPr>
    <w:sdtEndPr/>
    <w:sdtContent>
      <w:p w14:paraId="409B1F3A" w14:textId="77777777" w:rsidR="0078327C" w:rsidRDefault="00DB3EB0">
        <w:pPr>
          <w:pStyle w:val="Footer"/>
          <w:jc w:val="right"/>
        </w:pPr>
        <w:r>
          <w:fldChar w:fldCharType="begin"/>
        </w:r>
        <w:r>
          <w:instrText xml:space="preserve"> PAGE   \* MERGEFORMAT </w:instrText>
        </w:r>
        <w:r>
          <w:fldChar w:fldCharType="separate"/>
        </w:r>
        <w:r>
          <w:t>2</w:t>
        </w:r>
        <w:r>
          <w:fldChar w:fldCharType="end"/>
        </w:r>
      </w:p>
    </w:sdtContent>
  </w:sdt>
  <w:tbl>
    <w:tblPr>
      <w:tblStyle w:val="TableGri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7"/>
      <w:gridCol w:w="3118"/>
    </w:tblGrid>
    <w:tr w:rsidR="004740E7" w:rsidRPr="008414FC" w14:paraId="4CF8BEED" w14:textId="77777777" w:rsidTr="0030669C">
      <w:trPr>
        <w:trHeight w:val="574"/>
      </w:trPr>
      <w:tc>
        <w:tcPr>
          <w:tcW w:w="6947" w:type="dxa"/>
          <w:tcBorders>
            <w:top w:val="single" w:sz="4" w:space="0" w:color="auto"/>
          </w:tcBorders>
        </w:tcPr>
        <w:p w14:paraId="59ADA258" w14:textId="77777777" w:rsidR="004740E7" w:rsidRPr="008414FC" w:rsidRDefault="004740E7" w:rsidP="004740E7">
          <w:pPr>
            <w:pStyle w:val="Footer1"/>
            <w:tabs>
              <w:tab w:val="clear" w:pos="9072"/>
            </w:tabs>
            <w:spacing w:before="120"/>
            <w:ind w:left="0"/>
            <w:jc w:val="left"/>
            <w:rPr>
              <w:rFonts w:cstheme="minorHAnsi"/>
              <w:i/>
              <w:iCs/>
              <w:color w:val="464646"/>
              <w:sz w:val="16"/>
              <w:szCs w:val="16"/>
              <w:shd w:val="clear" w:color="auto" w:fill="FFFFFF"/>
              <w:lang w:val="en-US"/>
            </w:rPr>
          </w:pPr>
          <w:bookmarkStart w:id="2" w:name="_Hlk151042701"/>
          <w:r w:rsidRPr="00F42C71">
            <w:rPr>
              <w:rFonts w:cstheme="minorHAnsi"/>
              <w:color w:val="464646"/>
              <w:sz w:val="16"/>
              <w:szCs w:val="16"/>
              <w:shd w:val="clear" w:color="auto" w:fill="FFFFFF"/>
              <w:lang w:val="en-US"/>
            </w:rPr>
            <w:t xml:space="preserve">© 2023. </w:t>
          </w:r>
          <w:r>
            <w:rPr>
              <w:rFonts w:cstheme="minorHAnsi"/>
              <w:color w:val="464646"/>
              <w:sz w:val="16"/>
              <w:szCs w:val="16"/>
              <w:shd w:val="clear" w:color="auto" w:fill="FFFFFF"/>
              <w:lang w:val="en-US"/>
            </w:rPr>
            <w:t>This work is licensed under an Attribution-</w:t>
          </w:r>
          <w:proofErr w:type="spellStart"/>
          <w:r>
            <w:rPr>
              <w:rFonts w:cstheme="minorHAnsi"/>
              <w:color w:val="464646"/>
              <w:sz w:val="16"/>
              <w:szCs w:val="16"/>
              <w:shd w:val="clear" w:color="auto" w:fill="FFFFFF"/>
              <w:lang w:val="en-US"/>
            </w:rPr>
            <w:t>NonCommercial</w:t>
          </w:r>
          <w:proofErr w:type="spellEnd"/>
          <w:r>
            <w:rPr>
              <w:rFonts w:cstheme="minorHAnsi"/>
              <w:color w:val="464646"/>
              <w:sz w:val="16"/>
              <w:szCs w:val="16"/>
              <w:shd w:val="clear" w:color="auto" w:fill="FFFFFF"/>
              <w:lang w:val="en-US"/>
            </w:rPr>
            <w:t>-</w:t>
          </w:r>
          <w:proofErr w:type="spellStart"/>
          <w:r>
            <w:rPr>
              <w:rFonts w:cstheme="minorHAnsi"/>
              <w:color w:val="464646"/>
              <w:sz w:val="16"/>
              <w:szCs w:val="16"/>
              <w:shd w:val="clear" w:color="auto" w:fill="FFFFFF"/>
              <w:lang w:val="en-US"/>
            </w:rPr>
            <w:t>ShareAlike</w:t>
          </w:r>
          <w:proofErr w:type="spellEnd"/>
          <w:r>
            <w:rPr>
              <w:rFonts w:cstheme="minorHAnsi"/>
              <w:color w:val="464646"/>
              <w:sz w:val="16"/>
              <w:szCs w:val="16"/>
              <w:shd w:val="clear" w:color="auto" w:fill="FFFFFF"/>
              <w:lang w:val="en-US"/>
            </w:rPr>
            <w:t xml:space="preserve"> International Creative </w:t>
          </w:r>
          <w:r w:rsidRPr="003411BA">
            <w:rPr>
              <w:rFonts w:cstheme="minorHAnsi"/>
              <w:color w:val="464646"/>
              <w:sz w:val="16"/>
              <w:szCs w:val="16"/>
              <w:shd w:val="clear" w:color="auto" w:fill="FFFFFF"/>
              <w:lang w:val="en-US"/>
            </w:rPr>
            <w:t xml:space="preserve">Commons </w:t>
          </w:r>
          <w:hyperlink r:id="rId1" w:history="1">
            <w:r w:rsidRPr="003411BA">
              <w:rPr>
                <w:rStyle w:val="Hyperlink"/>
                <w:sz w:val="16"/>
                <w:szCs w:val="16"/>
              </w:rPr>
              <w:t xml:space="preserve">CC-BY-NC-SA 4.0 </w:t>
            </w:r>
            <w:r w:rsidRPr="003411BA">
              <w:rPr>
                <w:rStyle w:val="Hyperlink"/>
                <w:rFonts w:cstheme="minorHAnsi"/>
                <w:sz w:val="16"/>
                <w:szCs w:val="16"/>
              </w:rPr>
              <w:t>License</w:t>
            </w:r>
          </w:hyperlink>
          <w:r w:rsidRPr="003411BA">
            <w:rPr>
              <w:rFonts w:cstheme="minorHAnsi"/>
              <w:i/>
              <w:iCs/>
              <w:color w:val="464646"/>
              <w:sz w:val="16"/>
              <w:szCs w:val="16"/>
              <w:shd w:val="clear" w:color="auto" w:fill="FFFFFF"/>
              <w:lang w:val="en-US"/>
            </w:rPr>
            <w:t>.</w:t>
          </w:r>
          <w:r>
            <w:rPr>
              <w:rFonts w:cstheme="minorHAnsi"/>
              <w:i/>
              <w:iCs/>
              <w:color w:val="464646"/>
              <w:sz w:val="16"/>
              <w:szCs w:val="16"/>
              <w:shd w:val="clear" w:color="auto" w:fill="FFFFFF"/>
              <w:lang w:val="en-US"/>
            </w:rPr>
            <w:t xml:space="preserve"> </w:t>
          </w:r>
          <w:r w:rsidRPr="002A7F10">
            <w:rPr>
              <w:rFonts w:cstheme="minorHAnsi"/>
              <w:color w:val="0D0D0D" w:themeColor="text1" w:themeTint="F2"/>
              <w:sz w:val="16"/>
              <w:szCs w:val="16"/>
              <w:shd w:val="clear" w:color="auto" w:fill="FFFFFF"/>
              <w:lang w:val="en-US"/>
            </w:rPr>
            <w:t xml:space="preserve">Attribution: Original activity from Fischer Johann (et al.) </w:t>
          </w:r>
          <w:r w:rsidRPr="002A7F10">
            <w:rPr>
              <w:rFonts w:cstheme="minorHAnsi"/>
              <w:color w:val="0D0D0D" w:themeColor="text1" w:themeTint="F2"/>
              <w:sz w:val="16"/>
              <w:szCs w:val="16"/>
              <w:shd w:val="clear" w:color="auto" w:fill="FFFFFF"/>
            </w:rPr>
            <w:t>(2023),</w:t>
          </w:r>
          <w:r w:rsidRPr="002A7F10">
            <w:rPr>
              <w:rFonts w:cstheme="minorHAnsi"/>
              <w:color w:val="0D0D0D" w:themeColor="text1" w:themeTint="F2"/>
              <w:sz w:val="16"/>
              <w:szCs w:val="16"/>
            </w:rPr>
            <w:t xml:space="preserve"> </w:t>
          </w:r>
          <w:r w:rsidRPr="00347491">
            <w:rPr>
              <w:rFonts w:cstheme="minorHAnsi"/>
              <w:i/>
              <w:iCs/>
              <w:sz w:val="16"/>
              <w:szCs w:val="16"/>
            </w:rPr>
            <w:t>CEFR Companion Volume implementation toolbox</w:t>
          </w:r>
          <w:r w:rsidRPr="008414FC">
            <w:rPr>
              <w:rFonts w:cstheme="minorHAnsi"/>
              <w:sz w:val="16"/>
              <w:szCs w:val="16"/>
            </w:rPr>
            <w:t xml:space="preserve">, Council of Europe (European Centre for Modern Languages), Graz, available at </w:t>
          </w:r>
          <w:hyperlink r:id="rId2" w:history="1">
            <w:r w:rsidRPr="006C380F">
              <w:rPr>
                <w:rStyle w:val="Hyperlink"/>
                <w:sz w:val="16"/>
                <w:szCs w:val="16"/>
              </w:rPr>
              <w:t>www.ecml.at/companionvolumetoolbox</w:t>
            </w:r>
          </w:hyperlink>
          <w:r w:rsidRPr="006D71D5">
            <w:rPr>
              <w:sz w:val="16"/>
              <w:szCs w:val="16"/>
            </w:rPr>
            <w:t>.</w:t>
          </w:r>
        </w:p>
      </w:tc>
      <w:tc>
        <w:tcPr>
          <w:tcW w:w="3118" w:type="dxa"/>
        </w:tcPr>
        <w:p w14:paraId="7539FF01" w14:textId="77777777" w:rsidR="004740E7" w:rsidRPr="008414FC" w:rsidRDefault="004740E7" w:rsidP="004740E7">
          <w:pPr>
            <w:pStyle w:val="Footer1"/>
            <w:tabs>
              <w:tab w:val="clear" w:pos="9072"/>
            </w:tabs>
            <w:ind w:left="0" w:right="-109"/>
            <w:jc w:val="left"/>
            <w:rPr>
              <w:sz w:val="16"/>
              <w:szCs w:val="16"/>
            </w:rPr>
          </w:pPr>
          <w:r w:rsidRPr="008414FC">
            <w:rPr>
              <w:noProof/>
              <w:sz w:val="16"/>
              <w:szCs w:val="16"/>
            </w:rPr>
            <w:drawing>
              <wp:inline distT="0" distB="0" distL="0" distR="0" wp14:anchorId="7DC163C9" wp14:editId="7F1E001D">
                <wp:extent cx="1572895" cy="535940"/>
                <wp:effectExtent l="0" t="0" r="8255" b="0"/>
                <wp:docPr id="588285049" name="Picture 58828504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bookmarkEnd w:id="2"/>
  </w:tbl>
  <w:p w14:paraId="02CBD0BD" w14:textId="77777777" w:rsidR="0078327C" w:rsidRDefault="00783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1E877" w14:textId="77777777" w:rsidR="0078327C" w:rsidRDefault="00DB3EB0">
      <w:pPr>
        <w:spacing w:after="0"/>
      </w:pPr>
      <w:r>
        <w:separator/>
      </w:r>
    </w:p>
  </w:footnote>
  <w:footnote w:type="continuationSeparator" w:id="0">
    <w:p w14:paraId="70901E0B" w14:textId="77777777" w:rsidR="0078327C" w:rsidRDefault="00DB3E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88A4A" w14:textId="4F4CF014" w:rsidR="0078327C" w:rsidRDefault="007B16D7" w:rsidP="004740E7">
    <w:pPr>
      <w:pStyle w:val="Header"/>
      <w:jc w:val="right"/>
    </w:pPr>
    <w:r>
      <w:rPr>
        <w:noProof/>
        <w:lang w:val="de-DE"/>
      </w:rPr>
      <w:drawing>
        <wp:inline distT="0" distB="0" distL="0" distR="0" wp14:anchorId="55A307D4" wp14:editId="6A7044AD">
          <wp:extent cx="1304714" cy="842890"/>
          <wp:effectExtent l="0" t="0" r="0" b="0"/>
          <wp:docPr id="1334955738" name="Picture 1334955738" descr="A blue and black toolbox with to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53790" name="Picture 1628253790" descr="A blue and black toolbox with tool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618" cy="8641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E15DC"/>
    <w:multiLevelType w:val="hybridMultilevel"/>
    <w:tmpl w:val="B9DEEC56"/>
    <w:lvl w:ilvl="0" w:tplc="4F2A8346">
      <w:start w:val="1"/>
      <w:numFmt w:val="decimal"/>
      <w:pStyle w:val="Heading1"/>
      <w:lvlText w:val="%1."/>
      <w:lvlJc w:val="left"/>
      <w:pPr>
        <w:ind w:left="720" w:hanging="360"/>
      </w:pPr>
    </w:lvl>
    <w:lvl w:ilvl="1" w:tplc="ABC658FE">
      <w:start w:val="1"/>
      <w:numFmt w:val="lowerLetter"/>
      <w:pStyle w:val="Heading2"/>
      <w:lvlText w:val="%2."/>
      <w:lvlJc w:val="left"/>
      <w:pPr>
        <w:ind w:left="1440" w:hanging="360"/>
      </w:pPr>
    </w:lvl>
    <w:lvl w:ilvl="2" w:tplc="7B642ED6">
      <w:start w:val="1"/>
      <w:numFmt w:val="lowerRoman"/>
      <w:pStyle w:val="Heading3"/>
      <w:lvlText w:val="%3."/>
      <w:lvlJc w:val="right"/>
      <w:pPr>
        <w:ind w:left="2160" w:hanging="180"/>
      </w:pPr>
    </w:lvl>
    <w:lvl w:ilvl="3" w:tplc="0EF654E6">
      <w:start w:val="1"/>
      <w:numFmt w:val="decimal"/>
      <w:lvlText w:val="%4."/>
      <w:lvlJc w:val="left"/>
      <w:pPr>
        <w:ind w:left="2880" w:hanging="360"/>
      </w:pPr>
    </w:lvl>
    <w:lvl w:ilvl="4" w:tplc="866EB81E">
      <w:start w:val="1"/>
      <w:numFmt w:val="lowerLetter"/>
      <w:pStyle w:val="Heading5"/>
      <w:lvlText w:val="%5."/>
      <w:lvlJc w:val="left"/>
      <w:pPr>
        <w:ind w:left="3600" w:hanging="360"/>
      </w:pPr>
    </w:lvl>
    <w:lvl w:ilvl="5" w:tplc="C5225E8E">
      <w:start w:val="1"/>
      <w:numFmt w:val="lowerRoman"/>
      <w:pStyle w:val="Heading6"/>
      <w:lvlText w:val="%6."/>
      <w:lvlJc w:val="right"/>
      <w:pPr>
        <w:ind w:left="4320" w:hanging="180"/>
      </w:pPr>
    </w:lvl>
    <w:lvl w:ilvl="6" w:tplc="F83EF7F8">
      <w:start w:val="1"/>
      <w:numFmt w:val="decimal"/>
      <w:pStyle w:val="Heading7"/>
      <w:lvlText w:val="%7."/>
      <w:lvlJc w:val="left"/>
      <w:pPr>
        <w:ind w:left="5040" w:hanging="360"/>
      </w:pPr>
    </w:lvl>
    <w:lvl w:ilvl="7" w:tplc="86444742">
      <w:start w:val="1"/>
      <w:numFmt w:val="lowerLetter"/>
      <w:pStyle w:val="Heading8"/>
      <w:lvlText w:val="%8."/>
      <w:lvlJc w:val="left"/>
      <w:pPr>
        <w:ind w:left="5760" w:hanging="360"/>
      </w:pPr>
    </w:lvl>
    <w:lvl w:ilvl="8" w:tplc="1BBA03CC">
      <w:start w:val="1"/>
      <w:numFmt w:val="lowerRoman"/>
      <w:pStyle w:val="Heading9"/>
      <w:lvlText w:val="%9."/>
      <w:lvlJc w:val="right"/>
      <w:pPr>
        <w:ind w:left="6480" w:hanging="180"/>
      </w:pPr>
    </w:lvl>
  </w:abstractNum>
  <w:abstractNum w:abstractNumId="1" w15:restartNumberingAfterBreak="0">
    <w:nsid w:val="1DB01C6F"/>
    <w:multiLevelType w:val="hybridMultilevel"/>
    <w:tmpl w:val="FCA876A4"/>
    <w:lvl w:ilvl="0" w:tplc="E7040182">
      <w:start w:val="1"/>
      <w:numFmt w:val="bullet"/>
      <w:lvlText w:val=""/>
      <w:lvlJc w:val="left"/>
      <w:pPr>
        <w:ind w:left="1485" w:hanging="360"/>
      </w:pPr>
      <w:rPr>
        <w:rFonts w:ascii="Symbol" w:hAnsi="Symbol" w:hint="default"/>
      </w:rPr>
    </w:lvl>
    <w:lvl w:ilvl="1" w:tplc="2AEADDF0">
      <w:start w:val="1"/>
      <w:numFmt w:val="bullet"/>
      <w:lvlText w:val="o"/>
      <w:lvlJc w:val="left"/>
      <w:pPr>
        <w:ind w:left="2205" w:hanging="360"/>
      </w:pPr>
      <w:rPr>
        <w:rFonts w:ascii="Courier New" w:hAnsi="Courier New" w:cs="Courier New" w:hint="default"/>
      </w:rPr>
    </w:lvl>
    <w:lvl w:ilvl="2" w:tplc="FF6C958C">
      <w:start w:val="1"/>
      <w:numFmt w:val="bullet"/>
      <w:lvlText w:val=""/>
      <w:lvlJc w:val="left"/>
      <w:pPr>
        <w:ind w:left="2925" w:hanging="360"/>
      </w:pPr>
      <w:rPr>
        <w:rFonts w:ascii="Wingdings" w:hAnsi="Wingdings" w:hint="default"/>
      </w:rPr>
    </w:lvl>
    <w:lvl w:ilvl="3" w:tplc="803E705E">
      <w:start w:val="1"/>
      <w:numFmt w:val="bullet"/>
      <w:lvlText w:val=""/>
      <w:lvlJc w:val="left"/>
      <w:pPr>
        <w:ind w:left="3645" w:hanging="360"/>
      </w:pPr>
      <w:rPr>
        <w:rFonts w:ascii="Symbol" w:hAnsi="Symbol" w:hint="default"/>
      </w:rPr>
    </w:lvl>
    <w:lvl w:ilvl="4" w:tplc="4D042936">
      <w:start w:val="1"/>
      <w:numFmt w:val="bullet"/>
      <w:lvlText w:val="o"/>
      <w:lvlJc w:val="left"/>
      <w:pPr>
        <w:ind w:left="4365" w:hanging="360"/>
      </w:pPr>
      <w:rPr>
        <w:rFonts w:ascii="Courier New" w:hAnsi="Courier New" w:cs="Courier New" w:hint="default"/>
      </w:rPr>
    </w:lvl>
    <w:lvl w:ilvl="5" w:tplc="60AAC4CE">
      <w:start w:val="1"/>
      <w:numFmt w:val="bullet"/>
      <w:lvlText w:val=""/>
      <w:lvlJc w:val="left"/>
      <w:pPr>
        <w:ind w:left="5085" w:hanging="360"/>
      </w:pPr>
      <w:rPr>
        <w:rFonts w:ascii="Wingdings" w:hAnsi="Wingdings" w:hint="default"/>
      </w:rPr>
    </w:lvl>
    <w:lvl w:ilvl="6" w:tplc="9CCE3662">
      <w:start w:val="1"/>
      <w:numFmt w:val="bullet"/>
      <w:lvlText w:val=""/>
      <w:lvlJc w:val="left"/>
      <w:pPr>
        <w:ind w:left="5805" w:hanging="360"/>
      </w:pPr>
      <w:rPr>
        <w:rFonts w:ascii="Symbol" w:hAnsi="Symbol" w:hint="default"/>
      </w:rPr>
    </w:lvl>
    <w:lvl w:ilvl="7" w:tplc="A33EE8C6">
      <w:start w:val="1"/>
      <w:numFmt w:val="bullet"/>
      <w:lvlText w:val="o"/>
      <w:lvlJc w:val="left"/>
      <w:pPr>
        <w:ind w:left="6525" w:hanging="360"/>
      </w:pPr>
      <w:rPr>
        <w:rFonts w:ascii="Courier New" w:hAnsi="Courier New" w:cs="Courier New" w:hint="default"/>
      </w:rPr>
    </w:lvl>
    <w:lvl w:ilvl="8" w:tplc="968293E6">
      <w:start w:val="1"/>
      <w:numFmt w:val="bullet"/>
      <w:lvlText w:val=""/>
      <w:lvlJc w:val="left"/>
      <w:pPr>
        <w:ind w:left="7245" w:hanging="360"/>
      </w:pPr>
      <w:rPr>
        <w:rFonts w:ascii="Wingdings" w:hAnsi="Wingdings" w:hint="default"/>
      </w:rPr>
    </w:lvl>
  </w:abstractNum>
  <w:abstractNum w:abstractNumId="2" w15:restartNumberingAfterBreak="0">
    <w:nsid w:val="53800ED3"/>
    <w:multiLevelType w:val="hybridMultilevel"/>
    <w:tmpl w:val="C1BCCC40"/>
    <w:lvl w:ilvl="0" w:tplc="64E87BD4">
      <w:start w:val="1"/>
      <w:numFmt w:val="bullet"/>
      <w:lvlText w:val=""/>
      <w:lvlJc w:val="left"/>
      <w:pPr>
        <w:ind w:left="720" w:hanging="360"/>
      </w:pPr>
      <w:rPr>
        <w:rFonts w:ascii="Symbol" w:hAnsi="Symbol" w:hint="default"/>
      </w:rPr>
    </w:lvl>
    <w:lvl w:ilvl="1" w:tplc="1B3C55A0">
      <w:start w:val="1"/>
      <w:numFmt w:val="bullet"/>
      <w:lvlText w:val="o"/>
      <w:lvlJc w:val="left"/>
      <w:pPr>
        <w:ind w:left="1440" w:hanging="360"/>
      </w:pPr>
      <w:rPr>
        <w:rFonts w:ascii="Courier New" w:hAnsi="Courier New" w:cs="Courier New" w:hint="default"/>
      </w:rPr>
    </w:lvl>
    <w:lvl w:ilvl="2" w:tplc="762844BA">
      <w:start w:val="1"/>
      <w:numFmt w:val="bullet"/>
      <w:lvlText w:val=""/>
      <w:lvlJc w:val="left"/>
      <w:pPr>
        <w:ind w:left="2160" w:hanging="360"/>
      </w:pPr>
      <w:rPr>
        <w:rFonts w:ascii="Wingdings" w:hAnsi="Wingdings" w:hint="default"/>
      </w:rPr>
    </w:lvl>
    <w:lvl w:ilvl="3" w:tplc="E4B47A3A">
      <w:start w:val="1"/>
      <w:numFmt w:val="bullet"/>
      <w:lvlText w:val=""/>
      <w:lvlJc w:val="left"/>
      <w:pPr>
        <w:ind w:left="2880" w:hanging="360"/>
      </w:pPr>
      <w:rPr>
        <w:rFonts w:ascii="Symbol" w:hAnsi="Symbol" w:hint="default"/>
      </w:rPr>
    </w:lvl>
    <w:lvl w:ilvl="4" w:tplc="728E35F2">
      <w:start w:val="1"/>
      <w:numFmt w:val="bullet"/>
      <w:lvlText w:val="o"/>
      <w:lvlJc w:val="left"/>
      <w:pPr>
        <w:ind w:left="3600" w:hanging="360"/>
      </w:pPr>
      <w:rPr>
        <w:rFonts w:ascii="Courier New" w:hAnsi="Courier New" w:cs="Courier New" w:hint="default"/>
      </w:rPr>
    </w:lvl>
    <w:lvl w:ilvl="5" w:tplc="01580518">
      <w:start w:val="1"/>
      <w:numFmt w:val="bullet"/>
      <w:lvlText w:val=""/>
      <w:lvlJc w:val="left"/>
      <w:pPr>
        <w:ind w:left="4320" w:hanging="360"/>
      </w:pPr>
      <w:rPr>
        <w:rFonts w:ascii="Wingdings" w:hAnsi="Wingdings" w:hint="default"/>
      </w:rPr>
    </w:lvl>
    <w:lvl w:ilvl="6" w:tplc="EA0EBF00">
      <w:start w:val="1"/>
      <w:numFmt w:val="bullet"/>
      <w:lvlText w:val=""/>
      <w:lvlJc w:val="left"/>
      <w:pPr>
        <w:ind w:left="5040" w:hanging="360"/>
      </w:pPr>
      <w:rPr>
        <w:rFonts w:ascii="Symbol" w:hAnsi="Symbol" w:hint="default"/>
      </w:rPr>
    </w:lvl>
    <w:lvl w:ilvl="7" w:tplc="D4EE598A">
      <w:start w:val="1"/>
      <w:numFmt w:val="bullet"/>
      <w:lvlText w:val="o"/>
      <w:lvlJc w:val="left"/>
      <w:pPr>
        <w:ind w:left="5760" w:hanging="360"/>
      </w:pPr>
      <w:rPr>
        <w:rFonts w:ascii="Courier New" w:hAnsi="Courier New" w:cs="Courier New" w:hint="default"/>
      </w:rPr>
    </w:lvl>
    <w:lvl w:ilvl="8" w:tplc="7750BBE8">
      <w:start w:val="1"/>
      <w:numFmt w:val="bullet"/>
      <w:lvlText w:val=""/>
      <w:lvlJc w:val="left"/>
      <w:pPr>
        <w:ind w:left="6480" w:hanging="360"/>
      </w:pPr>
      <w:rPr>
        <w:rFonts w:ascii="Wingdings" w:hAnsi="Wingdings" w:hint="default"/>
      </w:rPr>
    </w:lvl>
  </w:abstractNum>
  <w:num w:numId="1" w16cid:durableId="844825528">
    <w:abstractNumId w:val="0"/>
  </w:num>
  <w:num w:numId="2" w16cid:durableId="1095781978">
    <w:abstractNumId w:val="1"/>
  </w:num>
  <w:num w:numId="3" w16cid:durableId="600604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27C"/>
    <w:rsid w:val="00003552"/>
    <w:rsid w:val="000E0BB9"/>
    <w:rsid w:val="00145F1A"/>
    <w:rsid w:val="001B4012"/>
    <w:rsid w:val="004740E7"/>
    <w:rsid w:val="0078327C"/>
    <w:rsid w:val="007B16D7"/>
    <w:rsid w:val="008F336B"/>
    <w:rsid w:val="00B82F8A"/>
    <w:rsid w:val="00DB3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A15928"/>
  <w15:docId w15:val="{DD1359E9-BBA8-4F9F-9D64-7DE537F8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pPr>
    <w:rPr>
      <w:rFonts w:ascii="Myriad Pro" w:eastAsia="Open Sans" w:hAnsi="Myriad Pro" w:cs="Open Sans"/>
      <w:bCs/>
      <w:iCs/>
      <w:color w:val="000000"/>
      <w:sz w:val="20"/>
      <w:szCs w:val="20"/>
      <w:lang w:val="en-GB"/>
    </w:rPr>
  </w:style>
  <w:style w:type="paragraph" w:styleId="Heading1">
    <w:name w:val="heading 1"/>
    <w:basedOn w:val="Normal"/>
    <w:next w:val="Normal"/>
    <w:link w:val="Heading1Char"/>
    <w:qFormat/>
    <w:pPr>
      <w:numPr>
        <w:numId w:val="1"/>
      </w:numPr>
      <w:spacing w:before="240" w:after="240"/>
      <w:jc w:val="left"/>
      <w:outlineLvl w:val="0"/>
    </w:pPr>
    <w:rPr>
      <w:sz w:val="32"/>
      <w:szCs w:val="48"/>
    </w:rPr>
  </w:style>
  <w:style w:type="paragraph" w:styleId="Heading2">
    <w:name w:val="heading 2"/>
    <w:basedOn w:val="Normal"/>
    <w:next w:val="Normal"/>
    <w:link w:val="Heading2Char"/>
    <w:uiPriority w:val="9"/>
    <w:unhideWhenUsed/>
    <w:qFormat/>
    <w:pPr>
      <w:keepNext/>
      <w:keepLines/>
      <w:numPr>
        <w:ilvl w:val="1"/>
        <w:numId w:val="1"/>
      </w:numPr>
      <w:pBdr>
        <w:top w:val="none" w:sz="0" w:space="0" w:color="auto"/>
        <w:left w:val="none" w:sz="0" w:space="0" w:color="auto"/>
        <w:bottom w:val="none" w:sz="0" w:space="0" w:color="auto"/>
        <w:right w:val="none" w:sz="0" w:space="0" w:color="auto"/>
        <w:between w:val="none" w:sz="0" w:space="0" w:color="auto"/>
      </w:pBdr>
      <w:tabs>
        <w:tab w:val="left" w:pos="397"/>
      </w:tabs>
      <w:spacing w:before="240" w:after="240"/>
      <w:outlineLvl w:val="1"/>
    </w:pPr>
    <w:rPr>
      <w:b/>
      <w:bCs w:val="0"/>
      <w:iCs w:val="0"/>
      <w:caps/>
      <w:sz w:val="24"/>
      <w:szCs w:val="24"/>
    </w:rPr>
  </w:style>
  <w:style w:type="paragraph" w:styleId="Heading3">
    <w:name w:val="heading 3"/>
    <w:basedOn w:val="Normal"/>
    <w:next w:val="Normal"/>
    <w:link w:val="Heading3Char"/>
    <w:uiPriority w:val="9"/>
    <w:unhideWhenUsed/>
    <w:qFormat/>
    <w:pPr>
      <w:keepNext/>
      <w:keepLines/>
      <w:numPr>
        <w:ilvl w:val="2"/>
        <w:numId w:val="1"/>
      </w:numPr>
      <w:pBdr>
        <w:top w:val="none" w:sz="0" w:space="0" w:color="auto"/>
        <w:left w:val="none" w:sz="0" w:space="0" w:color="auto"/>
        <w:bottom w:val="none" w:sz="0" w:space="0" w:color="auto"/>
        <w:right w:val="none" w:sz="0" w:space="0" w:color="auto"/>
        <w:between w:val="none" w:sz="0" w:space="0" w:color="auto"/>
      </w:pBdr>
      <w:tabs>
        <w:tab w:val="left" w:pos="397"/>
        <w:tab w:val="left" w:pos="567"/>
      </w:tabs>
      <w:spacing w:before="240" w:after="240"/>
      <w:outlineLvl w:val="2"/>
    </w:pPr>
    <w:rPr>
      <w:rFonts w:eastAsia="Calibri" w:cs="Calibri"/>
      <w:b/>
      <w:bCs w:val="0"/>
      <w:iCs w:val="0"/>
      <w:color w:val="000000" w:themeColor="text1"/>
      <w:sz w:val="24"/>
      <w:szCs w:val="24"/>
    </w:rPr>
  </w:style>
  <w:style w:type="paragraph" w:styleId="Heading4">
    <w:name w:val="heading 4"/>
    <w:basedOn w:val="Normal"/>
    <w:next w:val="Normal"/>
    <w:link w:val="Heading4Char"/>
    <w:uiPriority w:val="9"/>
    <w:unhideWhenUsed/>
    <w:qFormat/>
    <w:pPr>
      <w:keepNext/>
      <w:keepLines/>
      <w:pBdr>
        <w:top w:val="none" w:sz="0" w:space="0" w:color="auto"/>
        <w:left w:val="none" w:sz="0" w:space="0" w:color="auto"/>
        <w:bottom w:val="none" w:sz="0" w:space="0" w:color="auto"/>
        <w:right w:val="none" w:sz="0" w:space="0" w:color="auto"/>
        <w:between w:val="none" w:sz="0" w:space="0" w:color="auto"/>
      </w:pBdr>
      <w:spacing w:before="240" w:after="240"/>
      <w:outlineLvl w:val="3"/>
    </w:pPr>
    <w:rPr>
      <w:b/>
      <w:bCs w:val="0"/>
      <w:iCs w:val="0"/>
      <w:color w:val="auto"/>
      <w:sz w:val="24"/>
      <w:szCs w:val="24"/>
    </w:rPr>
  </w:style>
  <w:style w:type="paragraph" w:styleId="Heading5">
    <w:name w:val="heading 5"/>
    <w:basedOn w:val="Normal"/>
    <w:next w:val="Normal"/>
    <w:link w:val="Heading5Char"/>
    <w:uiPriority w:val="9"/>
    <w:semiHidden/>
    <w:unhideWhenUsed/>
    <w:qFormat/>
    <w:pPr>
      <w:keepNext/>
      <w:keepLines/>
      <w:numPr>
        <w:ilvl w:val="4"/>
        <w:numId w:val="1"/>
      </w:numPr>
      <w:pBdr>
        <w:top w:val="none" w:sz="0" w:space="0" w:color="auto"/>
        <w:left w:val="none" w:sz="0" w:space="0" w:color="auto"/>
        <w:bottom w:val="none" w:sz="0" w:space="0" w:color="auto"/>
        <w:right w:val="none" w:sz="0" w:space="0" w:color="auto"/>
        <w:between w:val="none" w:sz="0" w:space="0" w:color="auto"/>
      </w:pBdr>
      <w:spacing w:before="220" w:after="40"/>
      <w:outlineLvl w:val="4"/>
    </w:pPr>
    <w:rPr>
      <w:rFonts w:ascii="Open Sans" w:hAnsi="Open Sans"/>
      <w:b/>
      <w:bCs w:val="0"/>
      <w:iCs w:val="0"/>
      <w:color w:val="auto"/>
      <w:sz w:val="22"/>
      <w:szCs w:val="22"/>
    </w:rPr>
  </w:style>
  <w:style w:type="paragraph" w:styleId="Heading6">
    <w:name w:val="heading 6"/>
    <w:basedOn w:val="Normal"/>
    <w:next w:val="Normal"/>
    <w:link w:val="Heading6Char"/>
    <w:uiPriority w:val="9"/>
    <w:semiHidden/>
    <w:unhideWhenUsed/>
    <w:qFormat/>
    <w:pPr>
      <w:keepNext/>
      <w:keepLines/>
      <w:numPr>
        <w:ilvl w:val="5"/>
        <w:numId w:val="1"/>
      </w:numPr>
      <w:pBdr>
        <w:top w:val="none" w:sz="0" w:space="0" w:color="auto"/>
        <w:left w:val="none" w:sz="0" w:space="0" w:color="auto"/>
        <w:bottom w:val="none" w:sz="0" w:space="0" w:color="auto"/>
        <w:right w:val="none" w:sz="0" w:space="0" w:color="auto"/>
        <w:between w:val="none" w:sz="0" w:space="0" w:color="auto"/>
      </w:pBdr>
      <w:spacing w:before="200" w:after="40"/>
      <w:outlineLvl w:val="5"/>
    </w:pPr>
    <w:rPr>
      <w:rFonts w:ascii="Open Sans" w:hAnsi="Open Sans"/>
      <w:b/>
      <w:bCs w:val="0"/>
      <w:iCs w:val="0"/>
      <w:color w:val="auto"/>
    </w:rPr>
  </w:style>
  <w:style w:type="paragraph" w:styleId="Heading7">
    <w:name w:val="heading 7"/>
    <w:basedOn w:val="Normal"/>
    <w:next w:val="Normal"/>
    <w:link w:val="Heading7Char"/>
    <w:uiPriority w:val="9"/>
    <w:unhideWhenUsed/>
    <w:pPr>
      <w:keepNext/>
      <w:keepLines/>
      <w:numPr>
        <w:ilvl w:val="6"/>
        <w:numId w:val="1"/>
      </w:numPr>
      <w:spacing w:before="40" w:after="0"/>
      <w:outlineLvl w:val="6"/>
    </w:pPr>
    <w:rPr>
      <w:rFonts w:asciiTheme="majorHAnsi" w:eastAsiaTheme="majorEastAsia" w:hAnsiTheme="majorHAnsi" w:cstheme="majorBidi"/>
      <w:i/>
      <w:iCs w:val="0"/>
      <w:color w:val="1F3763" w:themeColor="accent1" w:themeShade="7F"/>
    </w:rPr>
  </w:style>
  <w:style w:type="paragraph" w:styleId="Heading8">
    <w:name w:val="heading 8"/>
    <w:basedOn w:val="Normal"/>
    <w:next w:val="Normal"/>
    <w:link w:val="Heading8Char"/>
    <w:uiPriority w:val="9"/>
    <w:unhideWhenUse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pPr>
      <w:keepNext/>
      <w:keepLines/>
      <w:numPr>
        <w:ilvl w:val="8"/>
        <w:numId w:val="1"/>
      </w:numPr>
      <w:spacing w:before="40" w:after="0"/>
      <w:outlineLvl w:val="8"/>
    </w:pPr>
    <w:rPr>
      <w:rFonts w:asciiTheme="majorHAnsi" w:eastAsiaTheme="majorEastAsia" w:hAnsiTheme="majorHAnsi" w:cstheme="majorBidi"/>
      <w:i/>
      <w:iCs w:val="0"/>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color w:val="4472C4"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p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customStyle="1" w:styleId="Heading1Char">
    <w:name w:val="Heading 1 Char"/>
    <w:basedOn w:val="DefaultParagraphFont"/>
    <w:link w:val="Heading1"/>
    <w:rPr>
      <w:rFonts w:ascii="Myriad Pro" w:eastAsia="Open Sans" w:hAnsi="Myriad Pro" w:cs="Open Sans"/>
      <w:bCs/>
      <w:iCs/>
      <w:color w:val="000000"/>
      <w:sz w:val="32"/>
      <w:szCs w:val="48"/>
      <w:lang w:val="en-GB"/>
    </w:rPr>
  </w:style>
  <w:style w:type="character" w:customStyle="1" w:styleId="Heading2Char">
    <w:name w:val="Heading 2 Char"/>
    <w:basedOn w:val="DefaultParagraphFont"/>
    <w:link w:val="Heading2"/>
    <w:uiPriority w:val="9"/>
    <w:rPr>
      <w:rFonts w:ascii="Myriad Pro" w:eastAsia="Open Sans" w:hAnsi="Myriad Pro" w:cs="Open Sans"/>
      <w:b/>
      <w:caps/>
      <w:color w:val="000000"/>
      <w:sz w:val="24"/>
      <w:szCs w:val="24"/>
      <w:lang w:val="en-GB"/>
    </w:rPr>
  </w:style>
  <w:style w:type="character" w:customStyle="1" w:styleId="Heading3Char">
    <w:name w:val="Heading 3 Char"/>
    <w:basedOn w:val="DefaultParagraphFont"/>
    <w:link w:val="Heading3"/>
    <w:uiPriority w:val="9"/>
    <w:rPr>
      <w:rFonts w:ascii="Myriad Pro" w:eastAsia="Calibri" w:hAnsi="Myriad Pro" w:cs="Calibri"/>
      <w:b/>
      <w:color w:val="000000" w:themeColor="text1"/>
      <w:sz w:val="24"/>
      <w:szCs w:val="24"/>
      <w:lang w:val="en-GB"/>
    </w:rPr>
  </w:style>
  <w:style w:type="character" w:customStyle="1" w:styleId="Heading4Char">
    <w:name w:val="Heading 4 Char"/>
    <w:basedOn w:val="DefaultParagraphFont"/>
    <w:link w:val="Heading4"/>
    <w:uiPriority w:val="9"/>
    <w:rPr>
      <w:rFonts w:ascii="Myriad Pro" w:eastAsia="Open Sans" w:hAnsi="Myriad Pro" w:cs="Open Sans"/>
      <w:b/>
      <w:sz w:val="24"/>
      <w:szCs w:val="24"/>
      <w:lang w:val="en-GB"/>
    </w:rPr>
  </w:style>
  <w:style w:type="character" w:customStyle="1" w:styleId="Heading5Char">
    <w:name w:val="Heading 5 Char"/>
    <w:basedOn w:val="DefaultParagraphFont"/>
    <w:link w:val="Heading5"/>
    <w:uiPriority w:val="9"/>
    <w:semiHidden/>
    <w:rPr>
      <w:rFonts w:ascii="Open Sans" w:eastAsia="Open Sans" w:hAnsi="Open Sans" w:cs="Open Sans"/>
      <w:b/>
      <w:lang w:val="en-GB"/>
    </w:rPr>
  </w:style>
  <w:style w:type="character" w:customStyle="1" w:styleId="Heading6Char">
    <w:name w:val="Heading 6 Char"/>
    <w:basedOn w:val="DefaultParagraphFont"/>
    <w:link w:val="Heading6"/>
    <w:uiPriority w:val="9"/>
    <w:semiHidden/>
    <w:rPr>
      <w:rFonts w:ascii="Open Sans" w:eastAsia="Open Sans" w:hAnsi="Open Sans" w:cs="Open Sans"/>
      <w:b/>
      <w:sz w:val="20"/>
      <w:szCs w:val="20"/>
      <w:lang w:val="en-GB"/>
    </w:rPr>
  </w:style>
  <w:style w:type="character" w:customStyle="1" w:styleId="Heading7Char">
    <w:name w:val="Heading 7 Char"/>
    <w:basedOn w:val="DefaultParagraphFont"/>
    <w:link w:val="Heading7"/>
    <w:uiPriority w:val="9"/>
    <w:rPr>
      <w:rFonts w:asciiTheme="majorHAnsi" w:eastAsiaTheme="majorEastAsia" w:hAnsiTheme="majorHAnsi" w:cstheme="majorBidi"/>
      <w:bCs/>
      <w:i/>
      <w:color w:val="1F3763" w:themeColor="accent1" w:themeShade="7F"/>
      <w:sz w:val="20"/>
      <w:szCs w:val="20"/>
      <w:lang w:val="en-GB"/>
    </w:rPr>
  </w:style>
  <w:style w:type="character" w:customStyle="1" w:styleId="Heading8Char">
    <w:name w:val="Heading 8 Char"/>
    <w:basedOn w:val="DefaultParagraphFont"/>
    <w:link w:val="Heading8"/>
    <w:uiPriority w:val="9"/>
    <w:rPr>
      <w:rFonts w:asciiTheme="majorHAnsi" w:eastAsiaTheme="majorEastAsia" w:hAnsiTheme="majorHAnsi" w:cstheme="majorBidi"/>
      <w:bCs/>
      <w:iCs/>
      <w:color w:val="272727" w:themeColor="text1" w:themeTint="D8"/>
      <w:sz w:val="21"/>
      <w:szCs w:val="21"/>
      <w:lang w:val="en-GB"/>
    </w:rPr>
  </w:style>
  <w:style w:type="character" w:customStyle="1" w:styleId="Heading9Char">
    <w:name w:val="Heading 9 Char"/>
    <w:basedOn w:val="DefaultParagraphFont"/>
    <w:link w:val="Heading9"/>
    <w:uiPriority w:val="9"/>
    <w:rPr>
      <w:rFonts w:asciiTheme="majorHAnsi" w:eastAsiaTheme="majorEastAsia" w:hAnsiTheme="majorHAnsi" w:cstheme="majorBidi"/>
      <w:bCs/>
      <w:i/>
      <w:color w:val="272727" w:themeColor="text1" w:themeTint="D8"/>
      <w:sz w:val="21"/>
      <w:szCs w:val="21"/>
      <w:lang w:val="en-GB"/>
    </w:rPr>
  </w:style>
  <w:style w:type="table" w:styleId="TableGrid">
    <w:name w:val="Table Grid"/>
    <w:basedOn w:val="TableNormal"/>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Myriad Pro" w:eastAsia="Open Sans" w:hAnsi="Myriad Pro" w:cs="Open Sans"/>
      <w:bCs/>
      <w:iCs/>
      <w:color w:val="000000"/>
      <w:sz w:val="20"/>
      <w:szCs w:val="20"/>
      <w:lang w:val="en-GB"/>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Myriad Pro" w:eastAsia="Open Sans" w:hAnsi="Myriad Pro" w:cs="Open Sans"/>
      <w:bCs/>
      <w:iCs/>
      <w:color w:val="000000"/>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Myriad Pro" w:eastAsia="Open Sans" w:hAnsi="Myriad Pro" w:cs="Open Sans"/>
      <w:bCs/>
      <w:iCs/>
      <w:color w:val="000000"/>
      <w:sz w:val="20"/>
      <w:szCs w:val="20"/>
      <w:lang w:val="en-GB"/>
    </w:rPr>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basedOn w:val="CommentTextChar"/>
    <w:link w:val="CommentSubject"/>
    <w:uiPriority w:val="99"/>
    <w:semiHidden/>
    <w:rPr>
      <w:rFonts w:ascii="Myriad Pro" w:eastAsia="Open Sans" w:hAnsi="Myriad Pro" w:cs="Open Sans"/>
      <w:b/>
      <w:bCs/>
      <w:iCs/>
      <w:color w:val="000000"/>
      <w:sz w:val="20"/>
      <w:szCs w:val="20"/>
      <w:lang w:val="en-GB"/>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Footer1">
    <w:name w:val="Footer1"/>
    <w:basedOn w:val="Footer"/>
    <w:link w:val="footerChar0"/>
    <w:qFormat/>
    <w:rsid w:val="007B16D7"/>
    <w:pPr>
      <w:pBdr>
        <w:top w:val="none" w:sz="0" w:space="0" w:color="auto"/>
        <w:left w:val="none" w:sz="0" w:space="0" w:color="auto"/>
        <w:bottom w:val="none" w:sz="0" w:space="0" w:color="auto"/>
        <w:right w:val="none" w:sz="0" w:space="0" w:color="auto"/>
        <w:between w:val="none" w:sz="0" w:space="0" w:color="auto"/>
      </w:pBdr>
      <w:ind w:left="-108"/>
    </w:pPr>
    <w:rPr>
      <w:rFonts w:ascii="Arial" w:eastAsiaTheme="minorEastAsia" w:hAnsi="Arial" w:cs="Arial"/>
      <w:bCs w:val="0"/>
      <w:iCs w:val="0"/>
      <w:sz w:val="18"/>
      <w:lang w:eastAsia="de-DE"/>
    </w:rPr>
  </w:style>
  <w:style w:type="character" w:customStyle="1" w:styleId="footerChar0">
    <w:name w:val="footer Char"/>
    <w:basedOn w:val="FooterChar"/>
    <w:link w:val="Footer1"/>
    <w:rsid w:val="007B16D7"/>
    <w:rPr>
      <w:rFonts w:ascii="Arial" w:eastAsiaTheme="minorEastAsia" w:hAnsi="Arial" w:cs="Arial"/>
      <w:bCs w:val="0"/>
      <w:iCs w:val="0"/>
      <w:color w:val="000000"/>
      <w:sz w:val="18"/>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iencedirect.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ecml.at/companionvolumetoolbox" TargetMode="External"/><Relationship Id="rId1" Type="http://schemas.openxmlformats.org/officeDocument/2006/relationships/hyperlink" Target="https://creativecommons.org/licenses/by-nc-sa/4.0/deed.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Johann</dc:creator>
  <cp:keywords/>
  <dc:description/>
  <cp:lastModifiedBy>Marie-Therese Baehr</cp:lastModifiedBy>
  <cp:revision>6</cp:revision>
  <dcterms:created xsi:type="dcterms:W3CDTF">2023-10-30T09:47:00Z</dcterms:created>
  <dcterms:modified xsi:type="dcterms:W3CDTF">2024-06-27T13:40:00Z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2d740f8b6f0051dea3a57d88d4449eaed2eda22ebd150ceafde57fad6b4c4c18</vt:lpwstr>
  </property>
</Properties>
</file>